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10bis                                 R4-2405205</w:t>
      </w:r>
    </w:p>
    <w:bookmarkEnd w:id="2"/>
    <w:p>
      <w:pPr>
        <w:widowControl w:val="0"/>
        <w:tabs>
          <w:tab w:val="right" w:pos="10440"/>
          <w:tab w:val="right" w:pos="13323"/>
        </w:tabs>
        <w:spacing w:beforeLines="0" w:afterLines="0" w:line="240" w:lineRule="auto"/>
        <w:jc w:val="both"/>
        <w:outlineLvl w:val="0"/>
        <w:rPr>
          <w:rFonts w:ascii="Arial" w:hAnsi="Arial" w:eastAsia="宋体" w:cs="Times New Roman"/>
          <w:b/>
          <w:kern w:val="2"/>
          <w:sz w:val="24"/>
          <w:highlight w:val="none"/>
          <w:lang w:val="pt-BR" w:eastAsia="zh-CN" w:bidi="ar-SA"/>
        </w:rPr>
      </w:pPr>
      <w:r>
        <w:rPr>
          <w:rFonts w:hint="eastAsia" w:ascii="Arial" w:hAnsi="Arial" w:cs="Arial"/>
          <w:b/>
          <w:kern w:val="2"/>
          <w:sz w:val="24"/>
          <w:szCs w:val="24"/>
          <w:lang w:val="en-US" w:eastAsia="zh-CN" w:bidi="ar-SA"/>
        </w:rPr>
        <w:t>Changsha</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China</w:t>
      </w:r>
      <w:r>
        <w:rPr>
          <w:rFonts w:hint="eastAsia" w:ascii="Arial" w:hAnsi="Arial" w:eastAsia="宋体" w:cs="Arial"/>
          <w:b/>
          <w:kern w:val="2"/>
          <w:sz w:val="24"/>
          <w:szCs w:val="24"/>
          <w:lang w:val="en-US" w:eastAsia="zh-CN" w:bidi="ar-SA"/>
        </w:rPr>
        <w:t xml:space="preserve">, </w:t>
      </w:r>
      <w:r>
        <w:rPr>
          <w:rFonts w:hint="eastAsia" w:ascii="Arial" w:hAnsi="Arial" w:cs="Arial"/>
          <w:b/>
          <w:kern w:val="2"/>
          <w:sz w:val="24"/>
          <w:szCs w:val="24"/>
          <w:lang w:val="en-US" w:eastAsia="zh-CN" w:bidi="ar-SA"/>
        </w:rPr>
        <w:t>15 April</w:t>
      </w:r>
      <w:r>
        <w:rPr>
          <w:rFonts w:hint="eastAsia" w:ascii="Arial" w:hAnsi="Arial" w:eastAsia="宋体" w:cs="Arial"/>
          <w:b/>
          <w:kern w:val="2"/>
          <w:sz w:val="24"/>
          <w:szCs w:val="24"/>
          <w:lang w:val="en-US" w:eastAsia="zh-CN" w:bidi="ar-SA"/>
        </w:rPr>
        <w:t xml:space="preserve"> – </w:t>
      </w:r>
      <w:r>
        <w:rPr>
          <w:rFonts w:hint="eastAsia" w:ascii="Arial" w:hAnsi="Arial" w:cs="Arial"/>
          <w:b/>
          <w:kern w:val="2"/>
          <w:sz w:val="24"/>
          <w:szCs w:val="24"/>
          <w:lang w:val="en-US" w:eastAsia="zh-CN" w:bidi="ar-SA"/>
        </w:rPr>
        <w:t>19</w:t>
      </w:r>
      <w:bookmarkStart w:id="3" w:name="_GoBack"/>
      <w:bookmarkEnd w:id="3"/>
      <w:r>
        <w:rPr>
          <w:rFonts w:hint="eastAsia" w:ascii="Arial" w:hAnsi="Arial" w:cs="Arial"/>
          <w:b/>
          <w:kern w:val="2"/>
          <w:sz w:val="24"/>
          <w:szCs w:val="24"/>
          <w:lang w:val="en-US" w:eastAsia="zh-CN" w:bidi="ar-SA"/>
        </w:rPr>
        <w:t xml:space="preserve"> April</w:t>
      </w:r>
      <w:r>
        <w:rPr>
          <w:rFonts w:hint="eastAsia" w:ascii="Arial" w:hAnsi="Arial" w:eastAsia="宋体" w:cs="Arial"/>
          <w:b/>
          <w:kern w:val="2"/>
          <w:sz w:val="24"/>
          <w:szCs w:val="24"/>
          <w:lang w:val="en-US" w:eastAsia="zh-CN" w:bidi="ar-SA"/>
        </w:rPr>
        <w:t>, 2024 </w:t>
      </w:r>
    </w:p>
    <w:p>
      <w:pPr>
        <w:pStyle w:val="14"/>
        <w:widowControl w:val="0"/>
        <w:spacing w:before="120" w:after="120"/>
        <w:jc w:val="both"/>
        <w:rPr>
          <w:b/>
          <w:i/>
          <w:sz w:val="24"/>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demodulation requirements for Network energy saving</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6.24.4</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default"/>
          <w:szCs w:val="22"/>
          <w:lang w:val="en-US" w:eastAsia="zh-CN"/>
        </w:rPr>
      </w:pPr>
      <w:r>
        <w:rPr>
          <w:rFonts w:hint="eastAsia"/>
          <w:szCs w:val="22"/>
          <w:lang w:val="en-US" w:eastAsia="zh-CN"/>
        </w:rPr>
        <w:t xml:space="preserve">In RAN#98e meeting, a new WID on NR support for network energy saving was approved [1]. It focus on base station (BS) which defined including the reference configurations for FR1 TDD/FDD and FR2, the deep/light/micro sleep power states with corresponding relative power, transition time and energy consumption among different power states based on two types of BS categories, and the scaling rules for the active DL/UL power states considering BS power split by a static part of power and a dynamic part of power with the latter part reflecting the dynamic power consumption with respect to transmission/reception resource configurations in time, frequency, spatial and power domains.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numPr>
                <w:ilvl w:val="0"/>
                <w:numId w:val="0"/>
              </w:numPr>
              <w:overflowPunct w:val="0"/>
              <w:autoSpaceDE w:val="0"/>
              <w:autoSpaceDN w:val="0"/>
              <w:adjustRightInd w:val="0"/>
              <w:spacing w:after="0"/>
              <w:textAlignment w:val="baseline"/>
              <w:rPr>
                <w:rFonts w:hint="default"/>
                <w:bCs/>
                <w:lang w:val="en-US" w:eastAsia="zh-CN"/>
              </w:rPr>
            </w:pPr>
            <w:r>
              <w:rPr>
                <w:rFonts w:hint="eastAsia"/>
                <w:bCs/>
                <w:lang w:val="en-US" w:eastAsia="zh-CN"/>
              </w:rPr>
              <w:t xml:space="preserve">The objective of performance part are the following: </w:t>
            </w:r>
          </w:p>
          <w:p>
            <w:pPr>
              <w:numPr>
                <w:ilvl w:val="0"/>
                <w:numId w:val="7"/>
              </w:numPr>
              <w:overflowPunct w:val="0"/>
              <w:autoSpaceDE w:val="0"/>
              <w:autoSpaceDN w:val="0"/>
              <w:adjustRightInd w:val="0"/>
              <w:spacing w:after="0"/>
              <w:ind w:left="210" w:leftChars="100"/>
              <w:textAlignment w:val="baseline"/>
              <w:rPr>
                <w:rFonts w:hint="eastAsia"/>
                <w:bCs/>
                <w:lang w:eastAsia="zh-CN"/>
              </w:rPr>
            </w:pPr>
            <w:r>
              <w:rPr>
                <w:rFonts w:hint="eastAsia"/>
                <w:bCs/>
                <w:lang w:eastAsia="zh-CN"/>
              </w:rPr>
              <w:t>Specify corresponding RRM performance requirements and test cases for the network energy saving techniques [RAN4].</w:t>
            </w:r>
          </w:p>
          <w:p>
            <w:pPr>
              <w:numPr>
                <w:ilvl w:val="0"/>
                <w:numId w:val="7"/>
              </w:numPr>
              <w:overflowPunct w:val="0"/>
              <w:autoSpaceDE w:val="0"/>
              <w:autoSpaceDN w:val="0"/>
              <w:adjustRightInd w:val="0"/>
              <w:spacing w:after="0"/>
              <w:ind w:left="210" w:leftChars="100"/>
              <w:textAlignment w:val="baseline"/>
              <w:rPr>
                <w:bCs/>
                <w:lang w:eastAsia="zh-CN"/>
              </w:rPr>
            </w:pPr>
            <w:r>
              <w:rPr>
                <w:rFonts w:hint="eastAsia"/>
                <w:bCs/>
                <w:lang w:eastAsia="zh-CN"/>
              </w:rPr>
              <w:t>Specify the necessary demodulation performance and CSI reporting requirements [RAN4]</w:t>
            </w:r>
            <w:r>
              <w:rPr>
                <w:bCs/>
                <w:lang w:eastAsia="zh-CN"/>
              </w:rPr>
              <w:t>.</w:t>
            </w:r>
          </w:p>
          <w:p>
            <w:pPr>
              <w:numPr>
                <w:ilvl w:val="0"/>
                <w:numId w:val="7"/>
              </w:numPr>
              <w:overflowPunct w:val="0"/>
              <w:autoSpaceDE w:val="0"/>
              <w:autoSpaceDN w:val="0"/>
              <w:adjustRightInd w:val="0"/>
              <w:spacing w:after="0"/>
              <w:ind w:left="210" w:leftChars="100"/>
              <w:textAlignment w:val="baseline"/>
              <w:rPr>
                <w:rFonts w:hint="eastAsia"/>
                <w:szCs w:val="22"/>
                <w:vertAlign w:val="baseline"/>
                <w:lang w:val="en-US" w:eastAsia="zh-CN"/>
              </w:rPr>
            </w:pPr>
            <w:r>
              <w:rPr>
                <w:rFonts w:hint="eastAsia"/>
                <w:bCs/>
                <w:lang w:eastAsia="zh-CN"/>
              </w:rPr>
              <w:t>Specify the BS conformance tests</w:t>
            </w:r>
            <w:r>
              <w:rPr>
                <w:bCs/>
                <w:lang w:eastAsia="zh-CN"/>
              </w:rPr>
              <w:t>, if necessary</w:t>
            </w:r>
            <w:r>
              <w:rPr>
                <w:rFonts w:hint="eastAsia"/>
                <w:bCs/>
                <w:lang w:eastAsia="zh-CN"/>
              </w:rPr>
              <w:t xml:space="preserve"> [RAN4]</w:t>
            </w:r>
            <w:r>
              <w:rPr>
                <w:bCs/>
                <w:lang w:eastAsia="zh-CN"/>
              </w:rPr>
              <w:t>.</w:t>
            </w:r>
          </w:p>
        </w:tc>
      </w:tr>
    </w:tbl>
    <w:p>
      <w:pPr>
        <w:spacing w:before="120" w:after="120"/>
        <w:rPr>
          <w:rFonts w:hint="default"/>
          <w:szCs w:val="22"/>
          <w:lang w:val="en-US" w:eastAsia="zh-CN"/>
        </w:rPr>
      </w:pPr>
      <w:r>
        <w:rPr>
          <w:rFonts w:hint="default"/>
          <w:szCs w:val="22"/>
          <w:lang w:val="en-US" w:eastAsia="zh-CN"/>
        </w:rPr>
        <w:t xml:space="preserve">In </w:t>
      </w:r>
      <w:r>
        <w:rPr>
          <w:rFonts w:hint="eastAsia"/>
          <w:szCs w:val="22"/>
          <w:lang w:val="en-US" w:eastAsia="zh-CN"/>
        </w:rPr>
        <w:t>last meeting, RAN4 discussed PDSCH requirements and CSI requirements for network energy saving, and reached some agreements in [2]. In this paper, we would like to continue sharing our views on PDSCH requirements.</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pStyle w:val="4"/>
        <w:numPr>
          <w:ilvl w:val="2"/>
          <w:numId w:val="0"/>
        </w:numPr>
        <w:ind w:leftChars="0" w:right="210" w:rightChars="100"/>
        <w:outlineLvl w:val="2"/>
        <w:rPr>
          <w:rFonts w:hint="default" w:eastAsia="宋体"/>
          <w:lang w:val="en-US" w:eastAsia="zh-CN"/>
        </w:rPr>
      </w:pPr>
      <w:r>
        <w:t xml:space="preserve">Sub-topic </w:t>
      </w:r>
      <w:r>
        <w:rPr>
          <w:rFonts w:hint="eastAsia" w:eastAsia="宋体"/>
          <w:lang w:val="en-US" w:eastAsia="zh-CN"/>
        </w:rPr>
        <w:t>1-1 PDSCH requirements</w:t>
      </w:r>
    </w:p>
    <w:p>
      <w:pPr>
        <w:spacing w:beforeLines="-2147483648" w:after="160" w:afterLines="-2147483648"/>
        <w:jc w:val="both"/>
        <w:rPr>
          <w:rFonts w:hint="default" w:ascii="Times New Roman" w:hAnsi="Times New Roman" w:eastAsiaTheme="minorEastAsia" w:cstheme="minorBidi"/>
          <w:kern w:val="0"/>
          <w:sz w:val="21"/>
          <w:szCs w:val="21"/>
          <w:lang w:val="en-US" w:eastAsia="zh-CN"/>
        </w:rPr>
      </w:pPr>
      <w:r>
        <w:rPr>
          <w:rFonts w:hint="eastAsia" w:ascii="Times New Roman" w:hAnsi="Times New Roman" w:eastAsiaTheme="minorEastAsia" w:cstheme="minorBidi"/>
          <w:kern w:val="0"/>
          <w:sz w:val="21"/>
          <w:szCs w:val="21"/>
          <w:lang w:val="en-US" w:eastAsia="zh-CN"/>
        </w:rPr>
        <w:t>In last meeting, whether to define new requirements for SSB-less Scell operation was discussed, and a WF [</w:t>
      </w:r>
      <w:r>
        <w:rPr>
          <w:rFonts w:hint="eastAsia" w:eastAsiaTheme="minorEastAsia" w:cstheme="minorBidi"/>
          <w:kern w:val="0"/>
          <w:sz w:val="21"/>
          <w:szCs w:val="21"/>
          <w:lang w:val="en-US" w:eastAsia="zh-CN"/>
        </w:rPr>
        <w:t>2</w:t>
      </w:r>
      <w:r>
        <w:rPr>
          <w:rFonts w:hint="eastAsia" w:ascii="Times New Roman" w:hAnsi="Times New Roman" w:eastAsiaTheme="minorEastAsia" w:cstheme="minorBidi"/>
          <w:kern w:val="0"/>
          <w:sz w:val="21"/>
          <w:szCs w:val="21"/>
          <w:lang w:val="en-US" w:eastAsia="zh-CN"/>
        </w:rPr>
        <w:t xml:space="preserve">]was reached. We will further analyze the impact from demod perspective.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lang w:eastAsia="ko-KR"/>
              </w:rPr>
            </w:pPr>
            <w:r>
              <w:rPr>
                <w:b/>
                <w:u w:val="single"/>
                <w:lang w:eastAsia="ko-KR"/>
              </w:rPr>
              <w:t>Issue 1-1: Whether to introduce SSB less Scell requirements for inter-band CA</w:t>
            </w:r>
          </w:p>
          <w:p>
            <w:pPr>
              <w:pStyle w:val="33"/>
              <w:numPr>
                <w:ilvl w:val="0"/>
                <w:numId w:val="8"/>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Agreement</w:t>
            </w:r>
          </w:p>
          <w:p>
            <w:pPr>
              <w:pStyle w:val="33"/>
              <w:numPr>
                <w:ilvl w:val="1"/>
                <w:numId w:val="8"/>
              </w:numPr>
              <w:overflowPunct/>
              <w:autoSpaceDE/>
              <w:autoSpaceDN/>
              <w:adjustRightInd/>
              <w:spacing w:after="120"/>
              <w:ind w:left="1440" w:firstLineChars="0"/>
              <w:textAlignment w:val="auto"/>
              <w:rPr>
                <w:rFonts w:hint="default"/>
                <w:b/>
                <w:bCs/>
                <w:i/>
                <w:iCs/>
                <w:szCs w:val="21"/>
                <w:vertAlign w:val="baseline"/>
                <w:lang w:val="en-US" w:eastAsia="zh-CN"/>
              </w:rPr>
            </w:pPr>
            <w:r>
              <w:rPr>
                <w:rFonts w:eastAsia="宋体"/>
                <w:sz w:val="21"/>
                <w:szCs w:val="21"/>
                <w:lang w:eastAsia="zh-CN"/>
              </w:rPr>
              <w:t>RAN4 to evaluate the performance of SSB-less SCells CA performance, if the observed performance constitutes a practical operating point of the feature, or if SSB-less SCell compliant UE shall be tested with normal CA requirements.</w:t>
            </w:r>
            <w:r>
              <w:rPr>
                <w:rFonts w:eastAsia="宋体"/>
                <w:szCs w:val="24"/>
                <w:lang w:eastAsia="zh-CN"/>
              </w:rPr>
              <w:t xml:space="preserve"> </w:t>
            </w:r>
          </w:p>
        </w:tc>
      </w:tr>
    </w:tbl>
    <w:p>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Also, RAN4 was agreed to use following simulation assumptions to evaluate the requirements for PDSCH SSB-less SCell FR1 inter-band CA demodulation. </w:t>
      </w:r>
    </w:p>
    <w:p>
      <w:pPr>
        <w:pStyle w:val="9"/>
        <w:keepNext/>
        <w:keepLines/>
        <w:jc w:val="center"/>
        <w:rPr>
          <w:rFonts w:hint="eastAsia" w:eastAsiaTheme="minorEastAsia" w:cstheme="minorBidi"/>
          <w:b w:val="0"/>
          <w:bCs/>
          <w:kern w:val="0"/>
          <w:sz w:val="21"/>
          <w:szCs w:val="21"/>
          <w:lang w:val="en-US" w:eastAsia="zh-CN"/>
        </w:rPr>
      </w:pPr>
      <w:r>
        <w:rPr>
          <w:b w:val="0"/>
          <w:bCs/>
        </w:rPr>
        <w:t xml:space="preserve">Table </w:t>
      </w:r>
      <w:r>
        <w:rPr>
          <w:b w:val="0"/>
          <w:bCs/>
        </w:rPr>
        <w:fldChar w:fldCharType="begin"/>
      </w:r>
      <w:r>
        <w:rPr>
          <w:b w:val="0"/>
          <w:bCs/>
        </w:rPr>
        <w:instrText xml:space="preserve"> SEQ Table \* ARABIC </w:instrText>
      </w:r>
      <w:r>
        <w:rPr>
          <w:b w:val="0"/>
          <w:bCs/>
        </w:rPr>
        <w:fldChar w:fldCharType="separate"/>
      </w:r>
      <w:r>
        <w:rPr>
          <w:b w:val="0"/>
          <w:bCs/>
        </w:rPr>
        <w:t>1</w:t>
      </w:r>
      <w:r>
        <w:rPr>
          <w:b w:val="0"/>
          <w:bCs/>
        </w:rPr>
        <w:fldChar w:fldCharType="end"/>
      </w:r>
      <w:r>
        <w:rPr>
          <w:b w:val="0"/>
          <w:bCs/>
        </w:rPr>
        <w:t>: PDSCH SSB-less SCell FR1 inter-band CA test setup, based on legacy CA demodulation testing</w:t>
      </w:r>
    </w:p>
    <w:tbl>
      <w:tblPr>
        <w:tblStyle w:val="22"/>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5"/>
        <w:gridCol w:w="825"/>
        <w:gridCol w:w="3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w:t>
            </w:r>
          </w:p>
        </w:tc>
        <w:tc>
          <w:tcPr>
            <w:tcW w:w="825"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Unit</w:t>
            </w:r>
          </w:p>
        </w:tc>
        <w:tc>
          <w:tcPr>
            <w:tcW w:w="3354" w:type="dxa"/>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Duplex mode</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GB" w:eastAsia="en-GB" w:bidi="ar-SA"/>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Active DL BWP index</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Channel model</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{TDLA30-10}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Antenna configuration</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2x2, ULA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Fraction of maximum throughput (%)</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70</w:t>
            </w:r>
            <w:r>
              <w:rPr>
                <w:rFonts w:ascii="Arial" w:hAnsi="Arial" w:eastAsia="Times New Roman" w:cs="Times New Roman"/>
                <w:sz w:val="18"/>
                <w:lang w:val="en-US" w:eastAsia="en-GB" w:bidi="ar-SA"/>
              </w:rPr>
              <w:br w:type="textWrapping"/>
            </w:r>
            <w:r>
              <w:rPr>
                <w:rFonts w:ascii="Arial" w:hAnsi="Arial" w:eastAsia="Times New Roman" w:cs="Times New Roman"/>
                <w:sz w:val="18"/>
                <w:lang w:val="en-US" w:eastAsia="en-GB" w:bidi="ar-SA"/>
              </w:rPr>
              <w:t>(Only SCell measured)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SCS/CBW</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30kHz/40MHz (106 PRB)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MCS</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{16QAM, 0.48 (MCS13)}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Channel estimation</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DM-RS based: non-ideal/practical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TO Estimation &amp; Compensation</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As per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 xml:space="preserve">TO </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{-0.9, -0.4, 0, 0.4, 0.9}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FFT window shift target</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{As per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ascii="Arial" w:hAnsi="Arial" w:eastAsia="宋体" w:cs="Times New Roman"/>
                <w:sz w:val="18"/>
                <w:lang w:val="en-GB" w:eastAsia="en-GB" w:bidi="ar-SA"/>
              </w:rPr>
            </w:pPr>
            <w:r>
              <w:rPr>
                <w:rFonts w:ascii="Arial" w:hAnsi="Arial" w:eastAsia="宋体" w:cs="Times New Roman"/>
                <w:sz w:val="18"/>
                <w:lang w:val="en-GB" w:eastAsia="en-GB" w:bidi="ar-SA"/>
              </w:rPr>
              <w:t>SSB/TRS</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PCell: SSB and TRS (optional)</w:t>
            </w:r>
          </w:p>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US" w:eastAsia="en-GB" w:bidi="ar-SA"/>
              </w:rPr>
            </w:pPr>
            <w:r>
              <w:rPr>
                <w:rFonts w:ascii="Arial" w:hAnsi="Arial" w:eastAsia="Times New Roman" w:cs="Times New Roman"/>
                <w:sz w:val="18"/>
                <w:lang w:val="en-US" w:eastAsia="en-GB" w:bidi="ar-SA"/>
              </w:rPr>
              <w:t>SCell: TRS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55" w:type="dxa"/>
            <w:shd w:val="clear" w:color="auto" w:fill="auto"/>
            <w:vAlign w:val="center"/>
          </w:tcPr>
          <w:p>
            <w:pPr>
              <w:keepNext w:val="0"/>
              <w:keepLines w:val="0"/>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c>
          <w:tcPr>
            <w:tcW w:w="825" w:type="dxa"/>
            <w:shd w:val="clear" w:color="auto" w:fill="auto"/>
            <w:vAlign w:val="center"/>
          </w:tcPr>
          <w:p>
            <w:pPr>
              <w:keepNext w:val="0"/>
              <w:keepLines w:val="0"/>
              <w:overflowPunct w:val="0"/>
              <w:autoSpaceDE w:val="0"/>
              <w:autoSpaceDN w:val="0"/>
              <w:adjustRightInd w:val="0"/>
              <w:spacing w:after="0"/>
              <w:jc w:val="center"/>
              <w:textAlignment w:val="baseline"/>
              <w:rPr>
                <w:rFonts w:ascii="Arial" w:hAnsi="Arial" w:eastAsia="Times New Roman" w:cs="Times New Roman"/>
                <w:sz w:val="18"/>
                <w:lang w:val="en-GB" w:eastAsia="en-GB" w:bidi="ar-SA"/>
              </w:rPr>
            </w:pPr>
          </w:p>
        </w:tc>
        <w:tc>
          <w:tcPr>
            <w:tcW w:w="3354" w:type="dxa"/>
            <w:shd w:val="clear" w:color="auto" w:fill="auto"/>
            <w:vAlign w:val="center"/>
          </w:tcPr>
          <w:p>
            <w:pPr>
              <w:keepNext w:val="0"/>
              <w:keepLines w:val="0"/>
              <w:overflowPunct w:val="0"/>
              <w:autoSpaceDE w:val="0"/>
              <w:autoSpaceDN w:val="0"/>
              <w:adjustRightInd w:val="0"/>
              <w:spacing w:after="0"/>
              <w:jc w:val="center"/>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w:t>
            </w:r>
          </w:p>
        </w:tc>
      </w:tr>
    </w:tbl>
    <w:p>
      <w:pPr>
        <w:rPr>
          <w:rFonts w:hint="default" w:ascii="Times New Roman" w:hAnsi="Times New Roman" w:cs="Times New Roman"/>
          <w:lang w:val="en-US" w:eastAsia="zh-CN"/>
        </w:rPr>
      </w:pPr>
      <w:r>
        <w:rPr>
          <w:rFonts w:hint="eastAsia" w:ascii="Times New Roman" w:hAnsi="Times New Roman" w:cs="Times New Roman"/>
          <w:lang w:val="en-US" w:eastAsia="zh-CN"/>
        </w:rPr>
        <w:t>Firstly, we would like to further clarify the motivation of BS EVM window size within CP and its impacts on the UE demod performance. As shown in Figure 1, in order to avoid the ISI caused by the time domain waveform to achieve the highest spectrum utilization ans lowest our of carrier leakage performance regardless of LT</w:t>
      </w:r>
      <w:r>
        <w:rPr>
          <w:rFonts w:hint="eastAsia" w:cs="Times New Roman"/>
          <w:lang w:val="en-US" w:eastAsia="zh-CN"/>
        </w:rPr>
        <w:t>E</w:t>
      </w:r>
      <w:r>
        <w:rPr>
          <w:rFonts w:hint="eastAsia" w:ascii="Times New Roman" w:hAnsi="Times New Roman" w:cs="Times New Roman"/>
          <w:lang w:val="en-US" w:eastAsia="zh-CN"/>
        </w:rPr>
        <w:t xml:space="preserve"> or NR OFDM, then in both BS and UE specification, EVM window size is specified to guide the proper FFT window truncation to achieve fairly good performance and also for fair conformance testing of EVM requirements. Th</w:t>
      </w:r>
      <w:r>
        <w:rPr>
          <w:rFonts w:hint="eastAsia" w:cs="Times New Roman"/>
          <w:lang w:val="en-US" w:eastAsia="zh-CN"/>
        </w:rPr>
        <w:t>e initial simulation results for EVM performance vs CP with WOLA waveform are shown in Figure 2.</w:t>
      </w:r>
    </w:p>
    <w:p>
      <w:pPr>
        <w:pStyle w:val="33"/>
        <w:ind w:left="0" w:leftChars="0" w:firstLine="0" w:firstLineChars="0"/>
        <w:jc w:val="both"/>
        <w:rPr>
          <w:rFonts w:eastAsia="Times New Roman"/>
          <w:kern w:val="0"/>
          <w:sz w:val="20"/>
          <w:szCs w:val="20"/>
        </w:rPr>
      </w:pPr>
      <w:r>
        <w:rPr>
          <w:sz w:val="20"/>
          <w:szCs w:val="20"/>
        </w:rPr>
        <w:drawing>
          <wp:inline distT="0" distB="0" distL="0" distR="0">
            <wp:extent cx="6188710" cy="1244600"/>
            <wp:effectExtent l="0" t="0" r="13970" b="4445"/>
            <wp:docPr id="3" name="图片 3" descr="C:\Users\10164284\AppData\Local\Microsoft\Windows\INetCache\Content.MSO\2A211C5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164284\AppData\Local\Microsoft\Windows\INetCache\Content.MSO\2A211C56.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88710" cy="1244962"/>
                    </a:xfrm>
                    <a:prstGeom prst="rect">
                      <a:avLst/>
                    </a:prstGeom>
                    <a:noFill/>
                    <a:ln>
                      <a:noFill/>
                    </a:ln>
                  </pic:spPr>
                </pic:pic>
              </a:graphicData>
            </a:graphic>
          </wp:inline>
        </w:drawing>
      </w:r>
    </w:p>
    <w:p>
      <w:pPr>
        <w:pStyle w:val="33"/>
        <w:ind w:firstLine="0" w:firstLineChars="0"/>
        <w:jc w:val="center"/>
        <w:rPr>
          <w:rFonts w:eastAsia="Times New Roman"/>
          <w:kern w:val="0"/>
          <w:sz w:val="20"/>
          <w:szCs w:val="20"/>
        </w:rPr>
      </w:pPr>
      <w:r>
        <w:rPr>
          <w:rFonts w:eastAsia="Times New Roman"/>
          <w:kern w:val="0"/>
          <w:sz w:val="20"/>
          <w:szCs w:val="20"/>
        </w:rPr>
        <w:t>F</w:t>
      </w:r>
      <w:r>
        <w:rPr>
          <w:rFonts w:hint="eastAsia" w:eastAsia="Times New Roman"/>
          <w:kern w:val="0"/>
          <w:sz w:val="20"/>
          <w:szCs w:val="20"/>
        </w:rPr>
        <w:t>igure</w:t>
      </w:r>
      <w:r>
        <w:rPr>
          <w:rFonts w:eastAsia="Times New Roman"/>
          <w:kern w:val="0"/>
          <w:sz w:val="20"/>
          <w:szCs w:val="20"/>
        </w:rPr>
        <w:t xml:space="preserve"> 1. </w:t>
      </w:r>
      <w:r>
        <w:rPr>
          <w:rFonts w:hint="eastAsia" w:eastAsia="Times New Roman"/>
          <w:kern w:val="0"/>
          <w:sz w:val="20"/>
          <w:szCs w:val="20"/>
        </w:rPr>
        <w:t>the</w:t>
      </w:r>
      <w:r>
        <w:rPr>
          <w:rFonts w:eastAsia="Times New Roman"/>
          <w:kern w:val="0"/>
          <w:sz w:val="20"/>
          <w:szCs w:val="20"/>
        </w:rPr>
        <w:t xml:space="preserve"> </w:t>
      </w:r>
      <w:r>
        <w:rPr>
          <w:rFonts w:hint="eastAsia" w:eastAsia="Times New Roman"/>
          <w:kern w:val="0"/>
          <w:sz w:val="20"/>
          <w:szCs w:val="20"/>
        </w:rPr>
        <w:t>i</w:t>
      </w:r>
      <w:r>
        <w:rPr>
          <w:rFonts w:eastAsia="Times New Roman"/>
          <w:kern w:val="0"/>
          <w:sz w:val="20"/>
          <w:szCs w:val="20"/>
        </w:rPr>
        <w:t>llustration of FFT widow based on the EVM window size</w:t>
      </w:r>
    </w:p>
    <w:p>
      <w:pPr>
        <w:jc w:val="center"/>
      </w:pPr>
      <w:r>
        <w:drawing>
          <wp:inline distT="0" distB="0" distL="114300" distR="114300">
            <wp:extent cx="4039870" cy="303022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4039870" cy="3030220"/>
                    </a:xfrm>
                    <a:prstGeom prst="rect">
                      <a:avLst/>
                    </a:prstGeom>
                    <a:noFill/>
                    <a:ln w="9525">
                      <a:noFill/>
                    </a:ln>
                  </pic:spPr>
                </pic:pic>
              </a:graphicData>
            </a:graphic>
          </wp:inline>
        </w:drawing>
      </w:r>
    </w:p>
    <w:p>
      <w:pPr>
        <w:pStyle w:val="33"/>
        <w:ind w:firstLine="0" w:firstLineChars="0"/>
        <w:jc w:val="center"/>
        <w:rPr>
          <w:rFonts w:eastAsia="Times New Roman"/>
          <w:kern w:val="0"/>
          <w:sz w:val="20"/>
          <w:szCs w:val="20"/>
        </w:rPr>
      </w:pPr>
      <w:r>
        <w:rPr>
          <w:rFonts w:eastAsia="Times New Roman"/>
          <w:kern w:val="0"/>
          <w:sz w:val="20"/>
          <w:szCs w:val="20"/>
        </w:rPr>
        <w:t>F</w:t>
      </w:r>
      <w:r>
        <w:rPr>
          <w:rFonts w:hint="eastAsia" w:eastAsia="Times New Roman"/>
          <w:kern w:val="0"/>
          <w:sz w:val="20"/>
          <w:szCs w:val="20"/>
        </w:rPr>
        <w:t>igure</w:t>
      </w:r>
      <w:r>
        <w:rPr>
          <w:rFonts w:eastAsia="Times New Roman"/>
          <w:kern w:val="0"/>
          <w:sz w:val="20"/>
          <w:szCs w:val="20"/>
        </w:rPr>
        <w:t xml:space="preserve"> </w:t>
      </w:r>
      <w:r>
        <w:rPr>
          <w:rFonts w:hint="eastAsia" w:eastAsia="宋体"/>
          <w:kern w:val="0"/>
          <w:sz w:val="20"/>
          <w:szCs w:val="20"/>
          <w:lang w:val="en-US" w:eastAsia="zh-CN"/>
        </w:rPr>
        <w:t>2</w:t>
      </w:r>
      <w:r>
        <w:rPr>
          <w:rFonts w:eastAsia="Times New Roman"/>
          <w:kern w:val="0"/>
          <w:sz w:val="20"/>
          <w:szCs w:val="20"/>
        </w:rPr>
        <w:t>.</w:t>
      </w:r>
      <w:r>
        <w:rPr>
          <w:rFonts w:hint="eastAsia" w:eastAsia="宋体"/>
          <w:kern w:val="0"/>
          <w:sz w:val="20"/>
          <w:szCs w:val="20"/>
          <w:lang w:val="en-US" w:eastAsia="zh-CN"/>
        </w:rPr>
        <w:t xml:space="preserve"> </w:t>
      </w:r>
      <w:r>
        <w:rPr>
          <w:rFonts w:hint="eastAsia"/>
          <w:kern w:val="0"/>
          <w:sz w:val="20"/>
          <w:szCs w:val="20"/>
        </w:rPr>
        <w:t>EVM performance within CP window size</w:t>
      </w:r>
    </w:p>
    <w:p>
      <w:pPr>
        <w:widowControl w:val="0"/>
        <w:spacing w:beforeLines="100" w:afterLines="0" w:line="240" w:lineRule="auto"/>
        <w:jc w:val="both"/>
        <w:rPr>
          <w:rFonts w:hint="eastAsia" w:cs="Times New Roman"/>
          <w:color w:val="000000" w:themeColor="text1"/>
          <w:kern w:val="2"/>
          <w:sz w:val="21"/>
          <w:szCs w:val="21"/>
          <w:lang w:val="en-US" w:eastAsia="zh-CN" w:bidi="ar-SA"/>
        </w:rPr>
      </w:pPr>
      <w:r>
        <w:rPr>
          <w:rFonts w:hint="eastAsia" w:cs="Times New Roman"/>
          <w:color w:val="000000" w:themeColor="text1"/>
          <w:kern w:val="2"/>
          <w:sz w:val="21"/>
          <w:szCs w:val="21"/>
          <w:lang w:val="en-US" w:eastAsia="zh-CN" w:bidi="ar-SA"/>
        </w:rPr>
        <w:t>From above results we can find that the minimum EVM measurements point could be 0.5CP in implementation. Thus, considering the UE implementation, FFT window shift could be 0.5CP to achieve the better EVM performance.</w:t>
      </w:r>
    </w:p>
    <w:p>
      <w:pPr>
        <w:widowControl w:val="0"/>
        <w:spacing w:beforeLines="100" w:afterLines="0" w:line="240" w:lineRule="auto"/>
        <w:jc w:val="both"/>
        <w:rPr>
          <w:rFonts w:hint="default" w:ascii="Times New Roman" w:hAnsi="Times New Roman" w:cs="Times New Roman"/>
          <w:color w:val="000000" w:themeColor="text1"/>
          <w:kern w:val="2"/>
          <w:sz w:val="21"/>
          <w:szCs w:val="21"/>
          <w:lang w:val="en-US" w:eastAsia="zh-CN" w:bidi="ar-SA"/>
        </w:rPr>
      </w:pPr>
      <w:r>
        <w:rPr>
          <w:rFonts w:hint="eastAsia"/>
          <w:b/>
          <w:bCs/>
          <w:i/>
          <w:iCs/>
          <w:lang w:val="en-US" w:eastAsia="zh-CN"/>
        </w:rPr>
        <w:t>Observation 1. FFT window shift could be 0.5CP to achieve the better EVM performance.</w:t>
      </w:r>
    </w:p>
    <w:p>
      <w:pPr>
        <w:widowControl w:val="0"/>
        <w:spacing w:beforeLines="100" w:afterLines="0" w:line="240" w:lineRule="auto"/>
        <w:jc w:val="both"/>
        <w:rPr>
          <w:rFonts w:hint="eastAsia" w:cs="Times New Roman"/>
          <w:color w:val="000000" w:themeColor="text1"/>
          <w:kern w:val="2"/>
          <w:sz w:val="21"/>
          <w:szCs w:val="21"/>
          <w:lang w:val="en-US" w:eastAsia="zh-CN" w:bidi="ar-SA"/>
        </w:rPr>
      </w:pPr>
      <w:r>
        <w:rPr>
          <w:rFonts w:hint="eastAsia" w:cs="Times New Roman"/>
          <w:color w:val="000000" w:themeColor="text1"/>
          <w:kern w:val="2"/>
          <w:sz w:val="21"/>
          <w:szCs w:val="21"/>
          <w:lang w:val="en-US" w:eastAsia="zh-CN" w:bidi="ar-SA"/>
        </w:rPr>
        <w:t xml:space="preserve">Secondly, we would like to clarify the relationship between RTD and FFT window. As shown in the following Figure 3(a) and Figure 3(b), we assume different FFT window shift and same RTD for Scell and Pcell. It is obvious that ISI caused by next symbol when Scell is in advance of Pcell. Thus, demodulation performance will has a degradation. But in Figure 3(b), no ISI caused generated, performance degradation could be ignored. In general, FFT window shift and RTD will jointly affect the performance of baseband. If RAN4 would like to introduce requirement, maybe FFT window shift could be clarified at first. </w:t>
      </w:r>
    </w:p>
    <w:p>
      <w:pPr>
        <w:widowControl w:val="0"/>
        <w:spacing w:beforeLines="100" w:afterLines="0" w:line="240" w:lineRule="auto"/>
        <w:jc w:val="both"/>
        <w:rPr>
          <w:rFonts w:hint="default" w:cs="Times New Roman"/>
          <w:color w:val="000000" w:themeColor="text1"/>
          <w:kern w:val="2"/>
          <w:sz w:val="21"/>
          <w:szCs w:val="21"/>
          <w:lang w:val="en-US" w:eastAsia="zh-CN" w:bidi="ar-SA"/>
        </w:rPr>
      </w:pPr>
      <w:r>
        <w:rPr>
          <w:rFonts w:hint="eastAsia"/>
          <w:b/>
          <w:bCs/>
          <w:i/>
          <w:iCs/>
          <w:lang w:val="en-US" w:eastAsia="zh-CN"/>
        </w:rPr>
        <w:t>Observation 2. If RAN4 would like to introduce requirements, FFT window shift could be clarified in requirements.</w:t>
      </w:r>
    </w:p>
    <w:p>
      <w:pPr>
        <w:widowControl w:val="0"/>
        <w:spacing w:beforeLines="100" w:afterLines="0" w:line="240" w:lineRule="auto"/>
        <w:jc w:val="both"/>
        <w:rPr>
          <w:rFonts w:hint="default" w:cs="Times New Roman"/>
          <w:color w:val="000000" w:themeColor="text1"/>
          <w:kern w:val="2"/>
          <w:sz w:val="21"/>
          <w:szCs w:val="21"/>
          <w:lang w:val="en-US" w:eastAsia="zh-CN" w:bidi="ar-SA"/>
        </w:rPr>
      </w:pPr>
      <w:r>
        <w:rPr>
          <w:rFonts w:hint="eastAsia" w:cs="Times New Roman"/>
          <w:color w:val="000000" w:themeColor="text1"/>
          <w:kern w:val="2"/>
          <w:sz w:val="21"/>
          <w:szCs w:val="21"/>
          <w:lang w:val="en-US" w:eastAsia="zh-CN" w:bidi="ar-SA"/>
        </w:rPr>
        <w:t>Also, in our simulation results[3], we evaluated different FFT window implementations with {-0.9, -0.4, 0, 0.4, 0.9} CP timing offset. From our simulation results, we can find that different FFT window implementations have different performance degradation.</w:t>
      </w:r>
    </w:p>
    <w:p>
      <w:pPr>
        <w:widowControl w:val="0"/>
        <w:spacing w:beforeLines="100" w:afterLines="0" w:line="240" w:lineRule="auto"/>
        <w:jc w:val="center"/>
      </w:pPr>
      <w:r>
        <w:drawing>
          <wp:inline distT="0" distB="0" distL="114300" distR="114300">
            <wp:extent cx="4366260" cy="1722120"/>
            <wp:effectExtent l="0" t="0" r="762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4"/>
                    <a:stretch>
                      <a:fillRect/>
                    </a:stretch>
                  </pic:blipFill>
                  <pic:spPr>
                    <a:xfrm>
                      <a:off x="0" y="0"/>
                      <a:ext cx="4366260" cy="1722120"/>
                    </a:xfrm>
                    <a:prstGeom prst="rect">
                      <a:avLst/>
                    </a:prstGeom>
                    <a:noFill/>
                    <a:ln>
                      <a:noFill/>
                    </a:ln>
                  </pic:spPr>
                </pic:pic>
              </a:graphicData>
            </a:graphic>
          </wp:inline>
        </w:drawing>
      </w:r>
    </w:p>
    <w:p>
      <w:pPr>
        <w:widowControl w:val="0"/>
        <w:tabs>
          <w:tab w:val="left" w:pos="5563"/>
        </w:tabs>
        <w:spacing w:beforeLines="100" w:afterLines="0" w:line="240" w:lineRule="auto"/>
        <w:jc w:val="center"/>
        <w:rPr>
          <w:rFonts w:hint="default" w:eastAsia="宋体"/>
          <w:lang w:val="en-US" w:eastAsia="zh-CN"/>
        </w:rPr>
      </w:pPr>
      <w:r>
        <w:rPr>
          <w:rFonts w:hint="eastAsia"/>
          <w:lang w:val="en-US" w:eastAsia="zh-CN"/>
        </w:rPr>
        <w:t xml:space="preserve">Figure 3(a). FFT window = CP,  RTD = </w:t>
      </w:r>
      <m:oMath>
        <m:r>
          <m:rPr>
            <m:sty m:val="p"/>
          </m:rPr>
          <w:rPr>
            <w:rFonts w:hint="default" w:ascii="Cambria Math" w:hAnsi="Cambria Math" w:cs="Times New Roman"/>
            <w:lang w:val="en-US"/>
          </w:rPr>
          <m:t>±</m:t>
        </m:r>
        <m:r>
          <m:rPr>
            <m:sty m:val="p"/>
          </m:rPr>
          <w:rPr>
            <w:rFonts w:hint="default" w:ascii="Cambria Math" w:hAnsi="Cambria Math" w:cs="Times New Roman"/>
            <w:lang w:val="en-US" w:eastAsia="zh-CN"/>
          </w:rPr>
          <m:t>0.5CP</m:t>
        </m:r>
      </m:oMath>
    </w:p>
    <w:p>
      <w:pPr>
        <w:widowControl w:val="0"/>
        <w:spacing w:beforeLines="100" w:afterLines="0" w:line="240" w:lineRule="auto"/>
        <w:jc w:val="center"/>
      </w:pPr>
      <w:r>
        <w:drawing>
          <wp:inline distT="0" distB="0" distL="114300" distR="114300">
            <wp:extent cx="4282440" cy="170688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5"/>
                    <a:stretch>
                      <a:fillRect/>
                    </a:stretch>
                  </pic:blipFill>
                  <pic:spPr>
                    <a:xfrm>
                      <a:off x="0" y="0"/>
                      <a:ext cx="4282440" cy="1706880"/>
                    </a:xfrm>
                    <a:prstGeom prst="rect">
                      <a:avLst/>
                    </a:prstGeom>
                    <a:noFill/>
                    <a:ln>
                      <a:noFill/>
                    </a:ln>
                  </pic:spPr>
                </pic:pic>
              </a:graphicData>
            </a:graphic>
          </wp:inline>
        </w:drawing>
      </w:r>
    </w:p>
    <w:p>
      <w:pPr>
        <w:widowControl w:val="0"/>
        <w:tabs>
          <w:tab w:val="left" w:pos="5563"/>
        </w:tabs>
        <w:spacing w:beforeLines="100" w:afterLines="0" w:line="240" w:lineRule="auto"/>
        <w:jc w:val="center"/>
        <w:rPr>
          <w:rFonts w:hint="eastAsia"/>
          <w:lang w:val="en-US" w:eastAsia="zh-CN"/>
        </w:rPr>
      </w:pPr>
      <w:r>
        <w:rPr>
          <w:rFonts w:hint="eastAsia"/>
          <w:lang w:val="en-US" w:eastAsia="zh-CN"/>
        </w:rPr>
        <w:t xml:space="preserve">Figure 3(b). FFT window = 0.5CP,  RTD = </w:t>
      </w:r>
      <m:oMath>
        <m:r>
          <m:rPr>
            <m:sty m:val="p"/>
          </m:rPr>
          <w:rPr>
            <w:rFonts w:ascii="Cambria Math" w:hAnsi="Cambria Math"/>
            <w:lang w:val="en-US"/>
          </w:rPr>
          <m:t>±</m:t>
        </m:r>
        <m:r>
          <m:rPr>
            <m:sty m:val="p"/>
          </m:rPr>
          <w:rPr>
            <w:rFonts w:hint="default" w:ascii="Cambria Math" w:hAnsi="Cambria Math"/>
            <w:lang w:val="en-US" w:eastAsia="zh-CN"/>
          </w:rPr>
          <m:t>0.5CP</m:t>
        </m:r>
      </m:oMath>
    </w:p>
    <w:p>
      <w:pPr>
        <w:widowControl w:val="0"/>
        <w:spacing w:beforeLines="100" w:afterLines="0" w:line="240" w:lineRule="auto"/>
        <w:jc w:val="both"/>
        <w:rPr>
          <w:rFonts w:hint="eastAsia" w:cs="Times New Roman"/>
          <w:color w:val="000000" w:themeColor="text1"/>
          <w:kern w:val="2"/>
          <w:sz w:val="21"/>
          <w:szCs w:val="21"/>
          <w:lang w:val="en-US" w:eastAsia="zh-CN" w:bidi="ar-SA"/>
        </w:rPr>
      </w:pPr>
      <w:r>
        <w:rPr>
          <w:rFonts w:hint="eastAsia" w:cs="Times New Roman"/>
          <w:color w:val="000000" w:themeColor="text1"/>
          <w:kern w:val="2"/>
          <w:sz w:val="21"/>
          <w:szCs w:val="21"/>
          <w:lang w:val="en-US" w:eastAsia="zh-CN" w:bidi="ar-SA"/>
        </w:rPr>
        <w:t>On the other hand, we also observed that there has a significant performance degradation caused by more intractably ISI appears in different FFT window shift implementations with different timing offset. In our understanding, if RAN4 would like to introduce requirements, worst requirements could be a starting point.</w:t>
      </w:r>
    </w:p>
    <w:p>
      <w:pPr>
        <w:widowControl w:val="0"/>
        <w:spacing w:beforeLines="100" w:afterLines="0" w:line="240" w:lineRule="auto"/>
        <w:jc w:val="both"/>
        <w:rPr>
          <w:rFonts w:hint="default"/>
          <w:b/>
          <w:bCs/>
          <w:i/>
          <w:iCs/>
          <w:lang w:val="en-US" w:eastAsia="zh-CN"/>
        </w:rPr>
      </w:pPr>
      <w:r>
        <w:rPr>
          <w:rFonts w:hint="eastAsia"/>
          <w:b/>
          <w:bCs/>
          <w:i/>
          <w:iCs/>
          <w:lang w:val="en-US" w:eastAsia="zh-CN"/>
        </w:rPr>
        <w:t>Proposal 1. If RAN4 would like to introduce PDSCH requirements, FFT window shift could be assumed to be  0.5CP as starting point.</w:t>
      </w:r>
    </w:p>
    <w:p>
      <w:pPr>
        <w:widowControl w:val="0"/>
        <w:spacing w:beforeLines="100" w:afterLines="0" w:line="240" w:lineRule="auto"/>
        <w:jc w:val="both"/>
        <w:rPr>
          <w:rFonts w:hint="default"/>
          <w:b/>
          <w:bCs/>
          <w:i/>
          <w:iCs/>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NES</w:t>
      </w:r>
      <w:r>
        <w:rPr>
          <w:rFonts w:hint="eastAsia"/>
          <w:bCs/>
          <w:kern w:val="0"/>
          <w:szCs w:val="21"/>
        </w:rPr>
        <w:t xml:space="preserve"> </w:t>
      </w:r>
      <w:r>
        <w:rPr>
          <w:rFonts w:hint="eastAsia"/>
          <w:bCs/>
          <w:kern w:val="0"/>
          <w:szCs w:val="21"/>
          <w:lang w:val="en-US" w:eastAsia="zh-CN"/>
        </w:rPr>
        <w:t>performance</w:t>
      </w:r>
      <w:r>
        <w:rPr>
          <w:rFonts w:hint="eastAsia"/>
          <w:bCs/>
          <w:kern w:val="0"/>
          <w:szCs w:val="21"/>
        </w:rPr>
        <w:t>, The conclusions are:</w:t>
      </w:r>
    </w:p>
    <w:p>
      <w:pPr>
        <w:widowControl w:val="0"/>
        <w:spacing w:beforeLines="100" w:afterLines="0" w:line="240" w:lineRule="auto"/>
        <w:jc w:val="both"/>
        <w:rPr>
          <w:rFonts w:hint="default" w:ascii="Times New Roman" w:hAnsi="Times New Roman" w:cs="Times New Roman"/>
          <w:color w:val="000000" w:themeColor="text1"/>
          <w:kern w:val="2"/>
          <w:sz w:val="21"/>
          <w:szCs w:val="21"/>
          <w:lang w:val="en-US" w:eastAsia="zh-CN" w:bidi="ar-SA"/>
        </w:rPr>
      </w:pPr>
      <w:r>
        <w:rPr>
          <w:rFonts w:hint="eastAsia"/>
          <w:b/>
          <w:bCs/>
          <w:i/>
          <w:iCs/>
          <w:lang w:val="en-US" w:eastAsia="zh-CN"/>
        </w:rPr>
        <w:t>Observation 1. FFT window shift could be 0.5CP to achieve the better EVM performance.</w:t>
      </w:r>
    </w:p>
    <w:p>
      <w:pPr>
        <w:widowControl w:val="0"/>
        <w:spacing w:beforeLines="100" w:afterLines="0" w:line="240" w:lineRule="auto"/>
        <w:jc w:val="both"/>
        <w:rPr>
          <w:rFonts w:hint="default"/>
          <w:b/>
          <w:bCs/>
          <w:i/>
          <w:iCs/>
          <w:lang w:val="en-US" w:eastAsia="zh-CN"/>
        </w:rPr>
      </w:pPr>
      <w:r>
        <w:rPr>
          <w:rFonts w:hint="eastAsia"/>
          <w:b/>
          <w:bCs/>
          <w:i/>
          <w:iCs/>
          <w:lang w:val="en-US" w:eastAsia="zh-CN"/>
        </w:rPr>
        <w:t>Observation 2. If RAN4 would like to introduce requirements, FFT window shift could be clarified in requirements.</w:t>
      </w:r>
    </w:p>
    <w:p>
      <w:pPr>
        <w:widowControl w:val="0"/>
        <w:spacing w:beforeLines="100" w:afterLines="0" w:line="240" w:lineRule="auto"/>
        <w:jc w:val="both"/>
        <w:rPr>
          <w:rFonts w:hint="default"/>
          <w:b/>
          <w:bCs/>
          <w:i/>
          <w:iCs/>
          <w:lang w:val="en-US" w:eastAsia="zh-CN"/>
        </w:rPr>
      </w:pPr>
      <w:r>
        <w:rPr>
          <w:rFonts w:hint="eastAsia"/>
          <w:b/>
          <w:bCs/>
          <w:i/>
          <w:iCs/>
          <w:lang w:val="en-US" w:eastAsia="zh-CN"/>
        </w:rPr>
        <w:t>Proposal 1. If RAN4 would like to introduce PDSCH requirements, FFT window shift could be assumed to be  0.5CP as starting point.</w:t>
      </w:r>
    </w:p>
    <w:p>
      <w:pPr>
        <w:widowControl w:val="0"/>
        <w:spacing w:beforeLines="100" w:afterLines="0" w:line="240" w:lineRule="auto"/>
        <w:jc w:val="left"/>
        <w:rPr>
          <w:rFonts w:hint="eastAsia"/>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9"/>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lang w:eastAsia="en-US"/>
        </w:rPr>
        <w:t>RP-223540 “New WID: Network energy savings for NR”, Huawei</w:t>
      </w:r>
      <w:r>
        <w:rPr>
          <w:rFonts w:hint="eastAsia" w:eastAsia="宋体" w:cstheme="minorBidi"/>
          <w:kern w:val="0"/>
          <w:sz w:val="21"/>
          <w:szCs w:val="21"/>
          <w:lang w:val="en-US" w:eastAsia="zh-CN"/>
        </w:rPr>
        <w:t>.</w:t>
      </w:r>
    </w:p>
    <w:p>
      <w:pPr>
        <w:pStyle w:val="33"/>
        <w:numPr>
          <w:ilvl w:val="0"/>
          <w:numId w:val="9"/>
        </w:numPr>
        <w:spacing w:afterLines="0" w:line="259" w:lineRule="auto"/>
        <w:ind w:right="-22"/>
        <w:jc w:val="left"/>
        <w:rPr>
          <w:rFonts w:eastAsiaTheme="minorHAnsi" w:cstheme="minorBidi"/>
          <w:kern w:val="0"/>
          <w:sz w:val="21"/>
          <w:szCs w:val="21"/>
        </w:rPr>
      </w:pPr>
      <w:r>
        <w:rPr>
          <w:rFonts w:hint="eastAsia" w:eastAsiaTheme="minorHAnsi" w:cstheme="minorBidi"/>
          <w:kern w:val="0"/>
          <w:sz w:val="21"/>
          <w:szCs w:val="21"/>
        </w:rPr>
        <w:t>R4-2402872</w:t>
      </w:r>
      <w:r>
        <w:rPr>
          <w:rFonts w:hint="eastAsia" w:eastAsia="宋体" w:cstheme="minorBidi"/>
          <w:kern w:val="0"/>
          <w:sz w:val="21"/>
          <w:szCs w:val="21"/>
          <w:lang w:val="en-US" w:eastAsia="zh-CN"/>
        </w:rPr>
        <w:t xml:space="preserve">, </w:t>
      </w:r>
      <w:r>
        <w:rPr>
          <w:rFonts w:hint="eastAsia" w:eastAsiaTheme="minorHAnsi" w:cstheme="minorBidi"/>
          <w:kern w:val="0"/>
          <w:sz w:val="21"/>
          <w:szCs w:val="21"/>
        </w:rPr>
        <w:t>WF on [109][330] Netw_Energy_NR_demod</w:t>
      </w:r>
      <w:r>
        <w:rPr>
          <w:rFonts w:hint="eastAsia" w:eastAsia="宋体" w:cstheme="minorBidi"/>
          <w:kern w:val="0"/>
          <w:sz w:val="21"/>
          <w:szCs w:val="21"/>
          <w:lang w:val="en-US" w:eastAsia="zh-CN"/>
        </w:rPr>
        <w:t xml:space="preserve">, Huawei, HiSilicon. </w:t>
      </w:r>
    </w:p>
    <w:p>
      <w:pPr>
        <w:pStyle w:val="33"/>
        <w:numPr>
          <w:ilvl w:val="0"/>
          <w:numId w:val="9"/>
        </w:numPr>
        <w:spacing w:afterLines="0" w:line="259" w:lineRule="auto"/>
        <w:ind w:right="-22"/>
        <w:jc w:val="left"/>
        <w:rPr>
          <w:rFonts w:eastAsiaTheme="minorHAnsi" w:cstheme="minorBidi"/>
          <w:kern w:val="0"/>
          <w:sz w:val="21"/>
          <w:szCs w:val="21"/>
        </w:rPr>
      </w:pPr>
      <w:r>
        <w:rPr>
          <w:rFonts w:hint="eastAsia" w:eastAsia="宋体" w:cstheme="minorBidi"/>
          <w:kern w:val="0"/>
          <w:sz w:val="21"/>
          <w:szCs w:val="21"/>
          <w:lang w:val="en-US" w:eastAsia="zh-CN"/>
        </w:rPr>
        <w:t>R4-240xxxx, Simulation results for NES demodulation requirements. ZTE Corporation.</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mbria Math">
    <w:panose1 w:val="02040503050406030204"/>
    <w:charset w:val="00"/>
    <w:family w:val="auto"/>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sz w:val="18"/>
        <w:szCs w:val="18"/>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7">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7"/>
  </w:num>
  <w:num w:numId="3">
    <w:abstractNumId w:val="3"/>
  </w:num>
  <w:num w:numId="4">
    <w:abstractNumId w:val="4"/>
  </w:num>
  <w:num w:numId="5">
    <w:abstractNumId w:val="1"/>
  </w:num>
  <w:num w:numId="6">
    <w:abstractNumId w:val="0"/>
  </w:num>
  <w:num w:numId="7">
    <w:abstractNumId w:val="8"/>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57A52"/>
    <w:rsid w:val="018E207B"/>
    <w:rsid w:val="0190283E"/>
    <w:rsid w:val="019D155B"/>
    <w:rsid w:val="01A428BB"/>
    <w:rsid w:val="01A85E3F"/>
    <w:rsid w:val="01AE307F"/>
    <w:rsid w:val="01B35169"/>
    <w:rsid w:val="01C00B7B"/>
    <w:rsid w:val="01D46B8D"/>
    <w:rsid w:val="01D866D8"/>
    <w:rsid w:val="01E66472"/>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32225"/>
    <w:rsid w:val="04251A4C"/>
    <w:rsid w:val="042D2E97"/>
    <w:rsid w:val="04305EA0"/>
    <w:rsid w:val="04352418"/>
    <w:rsid w:val="043865BF"/>
    <w:rsid w:val="044C78D8"/>
    <w:rsid w:val="04537B11"/>
    <w:rsid w:val="04684A28"/>
    <w:rsid w:val="0476348C"/>
    <w:rsid w:val="04782230"/>
    <w:rsid w:val="0479507E"/>
    <w:rsid w:val="047A0F91"/>
    <w:rsid w:val="04894975"/>
    <w:rsid w:val="04903689"/>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711F1"/>
    <w:rsid w:val="057D1D66"/>
    <w:rsid w:val="059D265F"/>
    <w:rsid w:val="05B2756C"/>
    <w:rsid w:val="05B92EC1"/>
    <w:rsid w:val="05D03328"/>
    <w:rsid w:val="05E078B3"/>
    <w:rsid w:val="0601277E"/>
    <w:rsid w:val="060748B0"/>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5A5B82"/>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2F101A"/>
    <w:rsid w:val="09306537"/>
    <w:rsid w:val="09355076"/>
    <w:rsid w:val="09392119"/>
    <w:rsid w:val="09445E95"/>
    <w:rsid w:val="09543B3B"/>
    <w:rsid w:val="09600FBD"/>
    <w:rsid w:val="0963672B"/>
    <w:rsid w:val="098143BC"/>
    <w:rsid w:val="099F436D"/>
    <w:rsid w:val="09B82A12"/>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13E15"/>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BE590B"/>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CE1486"/>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B357DE"/>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64B8D"/>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107A8D"/>
    <w:rsid w:val="19256D7A"/>
    <w:rsid w:val="19322C83"/>
    <w:rsid w:val="193275C2"/>
    <w:rsid w:val="19394FD2"/>
    <w:rsid w:val="19413FB3"/>
    <w:rsid w:val="195F3A6C"/>
    <w:rsid w:val="19663168"/>
    <w:rsid w:val="19786B0A"/>
    <w:rsid w:val="199A2059"/>
    <w:rsid w:val="19AB6A2A"/>
    <w:rsid w:val="19AD5184"/>
    <w:rsid w:val="19B46E10"/>
    <w:rsid w:val="19C456C1"/>
    <w:rsid w:val="19D75435"/>
    <w:rsid w:val="19DD71E7"/>
    <w:rsid w:val="19F061A1"/>
    <w:rsid w:val="1A054259"/>
    <w:rsid w:val="1A081816"/>
    <w:rsid w:val="1A165171"/>
    <w:rsid w:val="1A4858FF"/>
    <w:rsid w:val="1A4C698A"/>
    <w:rsid w:val="1A522FE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0F2BC6"/>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33C11"/>
    <w:rsid w:val="1DC65562"/>
    <w:rsid w:val="1DC93D59"/>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CC72B1"/>
    <w:rsid w:val="1EDE4CB0"/>
    <w:rsid w:val="1EE25FDD"/>
    <w:rsid w:val="1EF5103F"/>
    <w:rsid w:val="1F090F9B"/>
    <w:rsid w:val="1F0E5D6B"/>
    <w:rsid w:val="1F431C91"/>
    <w:rsid w:val="1F4F2219"/>
    <w:rsid w:val="1F721405"/>
    <w:rsid w:val="1F935819"/>
    <w:rsid w:val="1FA6556D"/>
    <w:rsid w:val="1FAF2571"/>
    <w:rsid w:val="1FC55EDA"/>
    <w:rsid w:val="1FCE593C"/>
    <w:rsid w:val="1FE312AC"/>
    <w:rsid w:val="1FE71D2F"/>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53104F"/>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7550B9"/>
    <w:rsid w:val="26A30ADD"/>
    <w:rsid w:val="26B9784E"/>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07202"/>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2858DB"/>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D14D92"/>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62663F"/>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65A93"/>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2C472B"/>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47BB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715C6"/>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011181"/>
    <w:rsid w:val="391476F2"/>
    <w:rsid w:val="39285D57"/>
    <w:rsid w:val="39372A0B"/>
    <w:rsid w:val="394B6470"/>
    <w:rsid w:val="39526430"/>
    <w:rsid w:val="39790F9D"/>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B61B24"/>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1127"/>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EF7DC5"/>
    <w:rsid w:val="3CF720E3"/>
    <w:rsid w:val="3CF72D6A"/>
    <w:rsid w:val="3CF86634"/>
    <w:rsid w:val="3CF86D06"/>
    <w:rsid w:val="3D00620E"/>
    <w:rsid w:val="3D035226"/>
    <w:rsid w:val="3D1A48E2"/>
    <w:rsid w:val="3D316CDB"/>
    <w:rsid w:val="3D327CA5"/>
    <w:rsid w:val="3D3D6BBD"/>
    <w:rsid w:val="3D450F8C"/>
    <w:rsid w:val="3D477118"/>
    <w:rsid w:val="3D594E54"/>
    <w:rsid w:val="3D5D31F3"/>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8227F0"/>
    <w:rsid w:val="3E8F637C"/>
    <w:rsid w:val="3E9B4B40"/>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D197F"/>
    <w:rsid w:val="42187EBE"/>
    <w:rsid w:val="421C3DAC"/>
    <w:rsid w:val="4227435A"/>
    <w:rsid w:val="42303B60"/>
    <w:rsid w:val="42335C97"/>
    <w:rsid w:val="424B5824"/>
    <w:rsid w:val="426973AD"/>
    <w:rsid w:val="427A22CE"/>
    <w:rsid w:val="427A67A1"/>
    <w:rsid w:val="427E0B36"/>
    <w:rsid w:val="42874976"/>
    <w:rsid w:val="429C4379"/>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3C48A0"/>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81732"/>
    <w:rsid w:val="460C5979"/>
    <w:rsid w:val="460F18AE"/>
    <w:rsid w:val="46110AB3"/>
    <w:rsid w:val="461233DE"/>
    <w:rsid w:val="46143B66"/>
    <w:rsid w:val="46214325"/>
    <w:rsid w:val="463246EC"/>
    <w:rsid w:val="46384BFA"/>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5B1F20"/>
    <w:rsid w:val="47696F9C"/>
    <w:rsid w:val="47725A17"/>
    <w:rsid w:val="477D3243"/>
    <w:rsid w:val="478821A1"/>
    <w:rsid w:val="479128A9"/>
    <w:rsid w:val="47975EDC"/>
    <w:rsid w:val="47983B19"/>
    <w:rsid w:val="47A3609D"/>
    <w:rsid w:val="47C01792"/>
    <w:rsid w:val="47C57A48"/>
    <w:rsid w:val="47D466C9"/>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20959"/>
    <w:rsid w:val="496E52F3"/>
    <w:rsid w:val="498A16CD"/>
    <w:rsid w:val="49A33C27"/>
    <w:rsid w:val="49A750B5"/>
    <w:rsid w:val="49BE07DA"/>
    <w:rsid w:val="49C84AA0"/>
    <w:rsid w:val="49D7694D"/>
    <w:rsid w:val="4A0244D3"/>
    <w:rsid w:val="4A255046"/>
    <w:rsid w:val="4A28799C"/>
    <w:rsid w:val="4A2E1525"/>
    <w:rsid w:val="4A2E4DBF"/>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04430"/>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791BD4"/>
    <w:rsid w:val="4E9C0636"/>
    <w:rsid w:val="4EA30DB6"/>
    <w:rsid w:val="4EA4668C"/>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4A18B1"/>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103D3"/>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168D1"/>
    <w:rsid w:val="61421EFD"/>
    <w:rsid w:val="615C5041"/>
    <w:rsid w:val="61613111"/>
    <w:rsid w:val="61624DA6"/>
    <w:rsid w:val="61635733"/>
    <w:rsid w:val="61705965"/>
    <w:rsid w:val="61813BF8"/>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1693E"/>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A06D0"/>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354B0"/>
    <w:rsid w:val="67545FB3"/>
    <w:rsid w:val="67570422"/>
    <w:rsid w:val="675D31B4"/>
    <w:rsid w:val="676D2F4B"/>
    <w:rsid w:val="677261FD"/>
    <w:rsid w:val="677A266A"/>
    <w:rsid w:val="677C1A81"/>
    <w:rsid w:val="67AA1080"/>
    <w:rsid w:val="67B163D1"/>
    <w:rsid w:val="67E4160A"/>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5B178C"/>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60803"/>
    <w:rsid w:val="6F3F365F"/>
    <w:rsid w:val="6F3F40F9"/>
    <w:rsid w:val="6F5E436B"/>
    <w:rsid w:val="6F6F14E1"/>
    <w:rsid w:val="6F975588"/>
    <w:rsid w:val="6FA629D4"/>
    <w:rsid w:val="6FA75ADB"/>
    <w:rsid w:val="6FB72F4F"/>
    <w:rsid w:val="6FB77ED4"/>
    <w:rsid w:val="6FBD4D2F"/>
    <w:rsid w:val="6FBF4710"/>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74817"/>
    <w:rsid w:val="721A3F70"/>
    <w:rsid w:val="727C422C"/>
    <w:rsid w:val="728D3603"/>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43DE1"/>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C54CA2"/>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171CD9"/>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017DA"/>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C34956"/>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emf"/><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12</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2024-04-08T12:02:56Z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E697E857D9DA43BAB2FD8B3975E693FC</vt:lpwstr>
  </property>
</Properties>
</file>